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F0" w:rsidRDefault="008766CF">
      <w:pPr>
        <w:pStyle w:val="2"/>
        <w:jc w:val="right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Приложение</w:t>
      </w:r>
    </w:p>
    <w:p w:rsidR="007424F0" w:rsidRDefault="008766CF">
      <w:pPr>
        <w:widowControl w:val="0"/>
        <w:jc w:val="right"/>
        <w:rPr>
          <w:szCs w:val="26"/>
        </w:rPr>
      </w:pPr>
      <w:r>
        <w:rPr>
          <w:szCs w:val="26"/>
        </w:rPr>
        <w:t>к постановлению администрации МР «Печора»</w:t>
      </w:r>
    </w:p>
    <w:p w:rsidR="007424F0" w:rsidRDefault="008766CF">
      <w:pPr>
        <w:widowControl w:val="0"/>
        <w:jc w:val="right"/>
        <w:rPr>
          <w:szCs w:val="26"/>
        </w:rPr>
      </w:pPr>
      <w:r>
        <w:rPr>
          <w:szCs w:val="26"/>
        </w:rPr>
        <w:t>от  29  апреля  2026 № 554</w:t>
      </w:r>
      <w:bookmarkStart w:id="0" w:name="_GoBack"/>
      <w:bookmarkEnd w:id="0"/>
    </w:p>
    <w:p w:rsidR="007424F0" w:rsidRDefault="007424F0">
      <w:pPr>
        <w:widowControl w:val="0"/>
        <w:jc w:val="right"/>
        <w:rPr>
          <w:szCs w:val="26"/>
        </w:rPr>
      </w:pPr>
    </w:p>
    <w:p w:rsidR="007424F0" w:rsidRDefault="008766CF">
      <w:pPr>
        <w:widowControl w:val="0"/>
        <w:ind w:left="-284"/>
        <w:jc w:val="center"/>
        <w:rPr>
          <w:szCs w:val="26"/>
        </w:rPr>
      </w:pPr>
      <w:r>
        <w:rPr>
          <w:szCs w:val="26"/>
        </w:rPr>
        <w:t>Изменения, вносимые в постановление администрации муниципального района «Печора» от 09.02.2024  № 161 «Об утверждении муниципальной адресной программы «Переселение граждан из аварийного жилищного фонда, имеющего угрозу обрушения на территории муниципальног</w:t>
      </w:r>
      <w:r>
        <w:rPr>
          <w:szCs w:val="26"/>
        </w:rPr>
        <w:t xml:space="preserve">о района «Печора»» </w:t>
      </w:r>
    </w:p>
    <w:p w:rsidR="007424F0" w:rsidRDefault="007424F0">
      <w:pPr>
        <w:widowControl w:val="0"/>
        <w:ind w:left="-284"/>
        <w:jc w:val="center"/>
        <w:rPr>
          <w:szCs w:val="26"/>
        </w:rPr>
      </w:pPr>
    </w:p>
    <w:p w:rsidR="007424F0" w:rsidRDefault="008766CF">
      <w:pPr>
        <w:pStyle w:val="a8"/>
        <w:widowControl w:val="0"/>
        <w:numPr>
          <w:ilvl w:val="0"/>
          <w:numId w:val="1"/>
        </w:numPr>
        <w:ind w:left="0" w:firstLine="709"/>
        <w:jc w:val="both"/>
        <w:rPr>
          <w:szCs w:val="26"/>
        </w:rPr>
      </w:pPr>
      <w:r>
        <w:rPr>
          <w:szCs w:val="26"/>
        </w:rPr>
        <w:t>В приложении к постановлению администрации муниципального района «Печора» в паспорте муниципальной адресной программы:</w:t>
      </w:r>
    </w:p>
    <w:p w:rsidR="007424F0" w:rsidRDefault="008766CF">
      <w:pPr>
        <w:pStyle w:val="a8"/>
        <w:widowControl w:val="0"/>
        <w:numPr>
          <w:ilvl w:val="1"/>
          <w:numId w:val="2"/>
        </w:numPr>
        <w:ind w:left="0" w:firstLine="709"/>
        <w:jc w:val="both"/>
        <w:rPr>
          <w:szCs w:val="26"/>
        </w:rPr>
      </w:pPr>
      <w:r>
        <w:rPr>
          <w:szCs w:val="26"/>
        </w:rPr>
        <w:t xml:space="preserve"> позиции 6 «Целевые показатели (индикаторы) Программы», 7 «Сроки реализации Программы», 8 «Объемы финансирования Про</w:t>
      </w:r>
      <w:r>
        <w:rPr>
          <w:szCs w:val="26"/>
        </w:rPr>
        <w:t>граммы», 9 «Ожидаемые результаты» изложить в следующей редакции:</w:t>
      </w:r>
    </w:p>
    <w:p w:rsidR="007424F0" w:rsidRDefault="008766CF">
      <w:pPr>
        <w:pStyle w:val="a6"/>
        <w:jc w:val="both"/>
        <w:rPr>
          <w:szCs w:val="26"/>
        </w:rPr>
      </w:pPr>
      <w:r>
        <w:rPr>
          <w:szCs w:val="26"/>
        </w:rPr>
        <w:t>«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57"/>
        <w:gridCol w:w="6607"/>
      </w:tblGrid>
      <w:tr w:rsidR="007424F0"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4F0" w:rsidRDefault="008766CF">
            <w:pPr>
              <w:rPr>
                <w:color w:val="000000"/>
                <w:szCs w:val="26"/>
              </w:rPr>
            </w:pPr>
            <w:bookmarkStart w:id="1" w:name="P30"/>
            <w:bookmarkEnd w:id="1"/>
            <w:r>
              <w:rPr>
                <w:rFonts w:eastAsia="Batang"/>
                <w:color w:val="000000"/>
                <w:szCs w:val="26"/>
              </w:rPr>
              <w:t>Целевые показатели (индикаторы) Программы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Количество граждан, переселенных  в рамках Программы, в   2024-2026 годах составит не менее 88 человек.</w:t>
            </w:r>
          </w:p>
        </w:tc>
      </w:tr>
      <w:tr w:rsidR="007424F0">
        <w:tc>
          <w:tcPr>
            <w:tcW w:w="2824" w:type="dxa"/>
            <w:tcBorders>
              <w:left w:val="single" w:sz="4" w:space="0" w:color="000000"/>
              <w:bottom w:val="single" w:sz="4" w:space="0" w:color="000000"/>
            </w:tcBorders>
          </w:tcPr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Сроки реализации Программы</w:t>
            </w:r>
          </w:p>
        </w:tc>
        <w:tc>
          <w:tcPr>
            <w:tcW w:w="6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2024-2026 годы</w:t>
            </w:r>
          </w:p>
        </w:tc>
      </w:tr>
      <w:tr w:rsidR="007424F0">
        <w:tc>
          <w:tcPr>
            <w:tcW w:w="2824" w:type="dxa"/>
            <w:tcBorders>
              <w:left w:val="single" w:sz="4" w:space="0" w:color="000000"/>
              <w:bottom w:val="single" w:sz="4" w:space="0" w:color="000000"/>
            </w:tcBorders>
          </w:tcPr>
          <w:p w:rsidR="007424F0" w:rsidRDefault="008766CF">
            <w:pPr>
              <w:rPr>
                <w:color w:val="000000"/>
                <w:szCs w:val="26"/>
              </w:rPr>
            </w:pPr>
            <w:bookmarkStart w:id="2" w:name="P30_Копия_1"/>
            <w:bookmarkEnd w:id="2"/>
            <w:r>
              <w:rPr>
                <w:rFonts w:eastAsia="Batang"/>
                <w:color w:val="000000"/>
                <w:szCs w:val="26"/>
              </w:rPr>
              <w:t>Объемы финансирования Программы</w:t>
            </w:r>
          </w:p>
        </w:tc>
        <w:tc>
          <w:tcPr>
            <w:tcW w:w="6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 xml:space="preserve">Общий объем финансирования программы </w:t>
            </w:r>
            <w:r>
              <w:rPr>
                <w:rFonts w:eastAsia="Batang"/>
                <w:b/>
                <w:color w:val="000000"/>
                <w:szCs w:val="26"/>
              </w:rPr>
              <w:t>за 2024-2026 годы</w:t>
            </w:r>
            <w:r>
              <w:rPr>
                <w:rFonts w:eastAsia="Batang"/>
                <w:color w:val="000000"/>
                <w:szCs w:val="26"/>
              </w:rPr>
              <w:t xml:space="preserve"> составляет 55 484 478,09 рублей, в том числе по годам: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b/>
                <w:color w:val="000000"/>
                <w:szCs w:val="26"/>
              </w:rPr>
              <w:t>2024 год</w:t>
            </w:r>
            <w:r>
              <w:rPr>
                <w:rFonts w:eastAsia="Batang"/>
                <w:color w:val="000000"/>
                <w:szCs w:val="26"/>
              </w:rPr>
              <w:t xml:space="preserve"> – 30 496 652,99 рублей, в том числе: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за счет средств бюджета муниципального образования муниципального р</w:t>
            </w:r>
            <w:r>
              <w:rPr>
                <w:rFonts w:eastAsia="Batang"/>
                <w:color w:val="000000"/>
                <w:szCs w:val="26"/>
              </w:rPr>
              <w:t>айона «Печора» в размере 30 496 652,99 рублей;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b/>
                <w:color w:val="000000"/>
                <w:szCs w:val="26"/>
              </w:rPr>
              <w:t>2025 год</w:t>
            </w:r>
            <w:r>
              <w:rPr>
                <w:rFonts w:eastAsia="Batang"/>
                <w:color w:val="000000"/>
                <w:szCs w:val="26"/>
              </w:rPr>
              <w:t xml:space="preserve"> – 22 076 801,61 рублей, в том числе: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- за счет средств бюджета муниципального образования муниципального района «Печора» в размере 20 076 801,61 рублей;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- за счет средств бюджета муниципального образо</w:t>
            </w:r>
            <w:r>
              <w:rPr>
                <w:rFonts w:eastAsia="Batang"/>
                <w:color w:val="000000"/>
                <w:szCs w:val="26"/>
              </w:rPr>
              <w:t>вания городского поселения «Путеец» в размере 2 000 000,00 рублей (иные межбюджетные трансферты);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b/>
                <w:color w:val="000000"/>
                <w:szCs w:val="26"/>
              </w:rPr>
              <w:t>2026 год – 2 911 023,49</w:t>
            </w:r>
            <w:r>
              <w:rPr>
                <w:rFonts w:eastAsia="Batang"/>
                <w:color w:val="000000"/>
                <w:szCs w:val="26"/>
              </w:rPr>
              <w:t xml:space="preserve"> рублей, в том числе: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 xml:space="preserve">за счет средств бюджета муниципального образования муниципального района «Печора» в размере 2 911 023,49 рублей, </w:t>
            </w:r>
            <w:r>
              <w:rPr>
                <w:rFonts w:eastAsia="Batang"/>
                <w:color w:val="000000"/>
                <w:szCs w:val="26"/>
              </w:rPr>
              <w:t>в том числе оплата кредиторской задолженности и оплата завершенного ремонта в 2026 по муниципальным контрактам 2025 года на осуществление текущего ремонта жилых помещений</w:t>
            </w:r>
            <w:bookmarkStart w:id="3" w:name="_GoBack_Копия_1"/>
            <w:bookmarkEnd w:id="3"/>
            <w:r>
              <w:rPr>
                <w:rFonts w:eastAsia="Batang"/>
                <w:color w:val="000000"/>
                <w:szCs w:val="26"/>
              </w:rPr>
              <w:t xml:space="preserve"> пустующего муниципального жилищного фонда)</w:t>
            </w:r>
          </w:p>
        </w:tc>
      </w:tr>
      <w:tr w:rsidR="007424F0">
        <w:tc>
          <w:tcPr>
            <w:tcW w:w="2824" w:type="dxa"/>
            <w:tcBorders>
              <w:left w:val="single" w:sz="4" w:space="0" w:color="000000"/>
              <w:bottom w:val="single" w:sz="4" w:space="0" w:color="000000"/>
            </w:tcBorders>
          </w:tcPr>
          <w:p w:rsidR="007424F0" w:rsidRDefault="008766CF">
            <w:pPr>
              <w:rPr>
                <w:rFonts w:eastAsia="Batang"/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Ожидаемые результаты</w:t>
            </w:r>
          </w:p>
        </w:tc>
        <w:tc>
          <w:tcPr>
            <w:tcW w:w="6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Реализация Программы</w:t>
            </w:r>
            <w:r>
              <w:rPr>
                <w:rFonts w:eastAsia="Batang"/>
                <w:color w:val="000000"/>
                <w:szCs w:val="26"/>
              </w:rPr>
              <w:t xml:space="preserve"> позволит: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- обеспечить расселение жилых помещений в объеме не менее 2 456,4 кв. метров;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- обеспечить приобретение жилых помещений у лиц, не являющихся застройщиками в объеме не менее 360,3 кв. метров расселяемой площади жилых помещений;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lastRenderedPageBreak/>
              <w:t xml:space="preserve">- обеспечить </w:t>
            </w:r>
            <w:r>
              <w:rPr>
                <w:rFonts w:eastAsia="Batang"/>
                <w:color w:val="000000"/>
                <w:szCs w:val="26"/>
              </w:rPr>
              <w:t>изъятие жилых помещений, находящихся в собственности граждан, для муниципальных нужд с возмещением компенсации за жилые помещения в объеме не менее 1 816,5 кв. метров расселяемой площади жилых помещений;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 xml:space="preserve">- обеспечить </w:t>
            </w:r>
            <w:r>
              <w:rPr>
                <w:rFonts w:eastAsia="Batang"/>
                <w:bCs/>
                <w:color w:val="000000"/>
                <w:szCs w:val="26"/>
              </w:rPr>
              <w:t>приведение жилых помещений муниципально</w:t>
            </w:r>
            <w:r>
              <w:rPr>
                <w:rFonts w:eastAsia="Batang"/>
                <w:bCs/>
                <w:color w:val="000000"/>
                <w:szCs w:val="26"/>
              </w:rPr>
              <w:t>го жилищного фонда в состояние пригодное для постоянного проживания (осуществить текущий ремонт жилых помещений) в объеме не менее 169,4 кв. метров расселяемой площади жилых помещений;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bCs/>
                <w:color w:val="000000"/>
                <w:szCs w:val="26"/>
              </w:rPr>
              <w:t>- обеспечить переселение жилых помещений в свободный жилищный фонд в об</w:t>
            </w:r>
            <w:r>
              <w:rPr>
                <w:rFonts w:eastAsia="Batang"/>
                <w:bCs/>
                <w:color w:val="000000"/>
                <w:szCs w:val="26"/>
              </w:rPr>
              <w:t>ъеме не менее 110,2 кв. метров;</w:t>
            </w:r>
          </w:p>
          <w:p w:rsidR="007424F0" w:rsidRDefault="008766CF">
            <w:pPr>
              <w:rPr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- переселить из жилых помещений в многоквартирных аварийных домах не менее 88 человек;</w:t>
            </w:r>
          </w:p>
          <w:p w:rsidR="007424F0" w:rsidRDefault="008766CF">
            <w:pPr>
              <w:rPr>
                <w:rFonts w:eastAsia="Batang"/>
                <w:color w:val="000000"/>
                <w:szCs w:val="26"/>
              </w:rPr>
            </w:pPr>
            <w:r>
              <w:rPr>
                <w:rFonts w:eastAsia="Batang"/>
                <w:color w:val="000000"/>
                <w:szCs w:val="26"/>
              </w:rPr>
              <w:t>- создание комфортных и безопасных условий для проживания граждан</w:t>
            </w:r>
          </w:p>
        </w:tc>
      </w:tr>
    </w:tbl>
    <w:p w:rsidR="007424F0" w:rsidRDefault="008766CF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»</w:t>
      </w:r>
    </w:p>
    <w:p w:rsidR="007424F0" w:rsidRDefault="008766C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8766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«Срок и этапы реализации программы» </w:t>
      </w:r>
      <w:r>
        <w:rPr>
          <w:rFonts w:ascii="Times New Roman" w:hAnsi="Times New Roman" w:cs="Times New Roman"/>
          <w:sz w:val="26"/>
          <w:szCs w:val="26"/>
        </w:rPr>
        <w:t xml:space="preserve">изложить в </w:t>
      </w:r>
      <w:r>
        <w:rPr>
          <w:rFonts w:ascii="Times New Roman" w:hAnsi="Times New Roman" w:cs="Times New Roman"/>
          <w:sz w:val="26"/>
          <w:szCs w:val="26"/>
        </w:rPr>
        <w:t>следующей редакции:</w:t>
      </w:r>
    </w:p>
    <w:p w:rsidR="007424F0" w:rsidRDefault="008766C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« Срок реализации муниципальной адресной программы «Переселение граждан из аварийного жилищного фонда, имеющего угрозу обрушения на территории муниципального района «Печора»» - 2024 -2026 годы</w:t>
      </w:r>
      <w:proofErr w:type="gramStart"/>
      <w:r>
        <w:rPr>
          <w:rFonts w:ascii="Times New Roman" w:hAnsi="Times New Roman" w:cs="Times New Roman"/>
          <w:sz w:val="26"/>
          <w:szCs w:val="26"/>
          <w:lang w:eastAsia="en-US"/>
        </w:rPr>
        <w:t>.</w:t>
      </w:r>
      <w:r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7424F0" w:rsidRDefault="008766C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sz w:val="26"/>
          <w:szCs w:val="26"/>
        </w:rPr>
        <w:t xml:space="preserve"> «Обоснование объема средств на реализацию Программы»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дополнить пунктами следующего содержания:</w:t>
      </w:r>
    </w:p>
    <w:p w:rsidR="007424F0" w:rsidRDefault="008766C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« - приказом министерства строительства и жилищно-коммунального хозяйства Республики Коми от 12.11.2025 № 646-ОД </w:t>
      </w:r>
      <w:r>
        <w:rPr>
          <w:rFonts w:ascii="Times New Roman" w:hAnsi="Times New Roman" w:cs="Times New Roman"/>
          <w:bCs/>
          <w:sz w:val="26"/>
          <w:szCs w:val="26"/>
        </w:rPr>
        <w:t>«О средней рыночной стоимости одного квадратног</w:t>
      </w:r>
      <w:r>
        <w:rPr>
          <w:rFonts w:ascii="Times New Roman" w:hAnsi="Times New Roman" w:cs="Times New Roman"/>
          <w:bCs/>
          <w:sz w:val="26"/>
          <w:szCs w:val="26"/>
        </w:rPr>
        <w:t>о метра общей площади жилья на IV квартал 2025 года, учитываемой для определения величины социальной выплаты на строительство или приобретение жилья, предоставляемой отдельным категориям граждан в 2025 году за счет средств республиканского бюджета Республи</w:t>
      </w:r>
      <w:r>
        <w:rPr>
          <w:rFonts w:ascii="Times New Roman" w:hAnsi="Times New Roman" w:cs="Times New Roman"/>
          <w:bCs/>
          <w:sz w:val="26"/>
          <w:szCs w:val="26"/>
        </w:rPr>
        <w:t>ки Коми»</w:t>
      </w:r>
      <w:r>
        <w:rPr>
          <w:rFonts w:ascii="Times New Roman" w:hAnsi="Times New Roman" w:cs="Times New Roman"/>
          <w:sz w:val="26"/>
          <w:szCs w:val="26"/>
        </w:rPr>
        <w:t>, исходя из которого средняя рыночная стоимость 1 кв. метра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муниципальному району «Печора» составила 26 343,00 рублей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(исходя из доведенных лимитов бюджетных обязательств);</w:t>
      </w:r>
    </w:p>
    <w:p w:rsidR="007424F0" w:rsidRDefault="008766C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 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VI</w:t>
      </w:r>
      <w:r>
        <w:rPr>
          <w:rFonts w:ascii="Times New Roman" w:hAnsi="Times New Roman" w:cs="Times New Roman"/>
          <w:sz w:val="26"/>
          <w:szCs w:val="26"/>
        </w:rPr>
        <w:t xml:space="preserve"> «Планируемые показатели выполнения Программы» изложить в </w:t>
      </w:r>
      <w:r>
        <w:rPr>
          <w:rFonts w:ascii="Times New Roman" w:hAnsi="Times New Roman" w:cs="Times New Roman"/>
          <w:sz w:val="26"/>
          <w:szCs w:val="26"/>
        </w:rPr>
        <w:t>следующей редакции:</w:t>
      </w:r>
    </w:p>
    <w:p w:rsidR="007424F0" w:rsidRDefault="008766C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 </w:t>
      </w:r>
      <w:r>
        <w:rPr>
          <w:rFonts w:ascii="Times New Roman" w:hAnsi="Times New Roman" w:cs="Times New Roman"/>
          <w:sz w:val="26"/>
          <w:szCs w:val="26"/>
          <w:lang w:eastAsia="en-US"/>
        </w:rPr>
        <w:t>Реализация Программы позволит:</w:t>
      </w:r>
    </w:p>
    <w:p w:rsidR="007424F0" w:rsidRDefault="008766C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обеспечить расселение жилых помещений в объеме не менее 2 456,4 кв. метров;</w:t>
      </w:r>
    </w:p>
    <w:p w:rsidR="007424F0" w:rsidRDefault="008766C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обеспечить приобретение жилых помещений у лиц, не являющихся застройщиками в объеме не менее 360,3 кв. метров расселяемой п</w:t>
      </w:r>
      <w:r>
        <w:rPr>
          <w:rFonts w:ascii="Times New Roman" w:hAnsi="Times New Roman" w:cs="Times New Roman"/>
          <w:sz w:val="26"/>
          <w:szCs w:val="26"/>
        </w:rPr>
        <w:t>лощади жилых помещений;</w:t>
      </w:r>
    </w:p>
    <w:p w:rsidR="007424F0" w:rsidRDefault="008766C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обеспечить изъятие жилых помещений, находящихся в собственности граждан, для муниципальных нужд с возмещением компенсации за жилые помещения в объеме не менее 1 816,5 кв. метров расселяемой площади жилых помещений;</w:t>
      </w:r>
    </w:p>
    <w:p w:rsidR="007424F0" w:rsidRDefault="008766C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обеспечить пр</w:t>
      </w:r>
      <w:r>
        <w:rPr>
          <w:rFonts w:ascii="Times New Roman" w:hAnsi="Times New Roman" w:cs="Times New Roman"/>
          <w:sz w:val="26"/>
          <w:szCs w:val="26"/>
        </w:rPr>
        <w:t>иведение жилых помещений муниципального жилищного фонда в состояние пригодное для постоянного проживания (осуществить текущий ремонт жилых помещений) в объеме не менее 169,4 кв. метров расселяемой площади жилых помещений;</w:t>
      </w:r>
    </w:p>
    <w:p w:rsidR="007424F0" w:rsidRDefault="008766C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обеспечить переселение жилых пом</w:t>
      </w:r>
      <w:r>
        <w:rPr>
          <w:rFonts w:ascii="Times New Roman" w:hAnsi="Times New Roman" w:cs="Times New Roman"/>
          <w:sz w:val="26"/>
          <w:szCs w:val="26"/>
        </w:rPr>
        <w:t>ещений в свободный жилищный фонд в объеме не менее 110,2 кв. метров;</w:t>
      </w:r>
    </w:p>
    <w:p w:rsidR="007424F0" w:rsidRDefault="008766C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переселить из жилых помещений в многоквартирных аварийных домах не менее 88 человек;</w:t>
      </w:r>
    </w:p>
    <w:p w:rsidR="007424F0" w:rsidRDefault="008766C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eastAsia="en-US"/>
        </w:rPr>
        <w:t>создание комфортных и  безопасных  условий  для проживания   граждан.</w:t>
      </w:r>
    </w:p>
    <w:p w:rsidR="007424F0" w:rsidRDefault="008766C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Планируемые показатели </w:t>
      </w:r>
      <w:r>
        <w:rPr>
          <w:rFonts w:ascii="Times New Roman" w:hAnsi="Times New Roman" w:cs="Times New Roman"/>
          <w:sz w:val="26"/>
          <w:szCs w:val="26"/>
        </w:rPr>
        <w:t>выполнения адресной программы по переселению граждан из аварийного жилищного фонда представлены в приложении № 1 к Программе</w:t>
      </w:r>
      <w:proofErr w:type="gramStart"/>
      <w:r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7424F0" w:rsidRDefault="008766CF">
      <w:pPr>
        <w:overflowPunct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>2. Приложение № 1 к муниципальной адресной программе изложить в редакции согласно приложению № 1 к изменениям, вносимым в постано</w:t>
      </w:r>
      <w:r>
        <w:rPr>
          <w:szCs w:val="26"/>
        </w:rPr>
        <w:t>вление администрации МР «Печора» от 09.02.2024 № 161.</w:t>
      </w:r>
    </w:p>
    <w:p w:rsidR="007424F0" w:rsidRDefault="008766CF">
      <w:pPr>
        <w:overflowPunct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>3. Приложение № 3 к муниципальной адресной программе изложить в редакции согласно приложению № 2 к изменениям, вносимым в постановление администрации МР «Печора» от 09.02.2024 № 161.</w:t>
      </w:r>
    </w:p>
    <w:p w:rsidR="007424F0" w:rsidRDefault="008766CF">
      <w:pPr>
        <w:overflowPunct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>4. Приложение № 4 к</w:t>
      </w:r>
      <w:r>
        <w:rPr>
          <w:szCs w:val="26"/>
        </w:rPr>
        <w:t xml:space="preserve"> муниципальной адресной программе изложить в редакции согласно приложению № 3 к изменениям, вносимым в постановление администрации МР «Печора» от 09.02.2024 № 161.</w:t>
      </w:r>
    </w:p>
    <w:p w:rsidR="007424F0" w:rsidRDefault="008766CF">
      <w:pPr>
        <w:spacing w:line="276" w:lineRule="auto"/>
        <w:ind w:right="283"/>
        <w:jc w:val="center"/>
        <w:rPr>
          <w:sz w:val="24"/>
          <w:szCs w:val="24"/>
        </w:rPr>
        <w:sectPr w:rsidR="007424F0">
          <w:pgSz w:w="11906" w:h="16838"/>
          <w:pgMar w:top="1134" w:right="851" w:bottom="568" w:left="1701" w:header="0" w:footer="0" w:gutter="0"/>
          <w:cols w:space="720"/>
          <w:formProt w:val="0"/>
          <w:docGrid w:linePitch="360"/>
        </w:sectPr>
      </w:pPr>
      <w:r>
        <w:rPr>
          <w:szCs w:val="26"/>
        </w:rPr>
        <w:t>_________________</w:t>
      </w:r>
    </w:p>
    <w:p w:rsidR="007424F0" w:rsidRDefault="007424F0">
      <w:pPr>
        <w:pStyle w:val="ConsPlusNormal"/>
        <w:tabs>
          <w:tab w:val="left" w:pos="567"/>
        </w:tabs>
        <w:rPr>
          <w:rFonts w:ascii="Times New Roman" w:hAnsi="Times New Roman" w:cs="Times New Roman"/>
          <w:sz w:val="26"/>
          <w:szCs w:val="26"/>
        </w:rPr>
      </w:pPr>
    </w:p>
    <w:sectPr w:rsidR="007424F0">
      <w:pgSz w:w="16838" w:h="11906" w:orient="landscape"/>
      <w:pgMar w:top="1588" w:right="1021" w:bottom="851" w:left="102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38A"/>
    <w:multiLevelType w:val="multilevel"/>
    <w:tmpl w:val="A3E077EC"/>
    <w:lvl w:ilvl="0">
      <w:start w:val="1"/>
      <w:numFmt w:val="decimal"/>
      <w:lvlText w:val="%1."/>
      <w:lvlJc w:val="left"/>
      <w:pPr>
        <w:tabs>
          <w:tab w:val="num" w:pos="0"/>
        </w:tabs>
        <w:ind w:left="1714" w:hanging="1005"/>
      </w:p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1864" w:hanging="1155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64" w:hanging="1155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64" w:hanging="1155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864" w:hanging="1155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509" w:hanging="1800"/>
      </w:pPr>
    </w:lvl>
  </w:abstractNum>
  <w:abstractNum w:abstractNumId="1">
    <w:nsid w:val="17FF3B9C"/>
    <w:multiLevelType w:val="multilevel"/>
    <w:tmpl w:val="2F2ABD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A137DDC"/>
    <w:multiLevelType w:val="multilevel"/>
    <w:tmpl w:val="575E3F3C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F0"/>
    <w:rsid w:val="007424F0"/>
    <w:rsid w:val="0087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2 Знак"/>
    <w:basedOn w:val="a0"/>
    <w:link w:val="22"/>
    <w:semiHidden/>
    <w:qFormat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3">
    <w:name w:val="Основной текст 3 Знак"/>
    <w:basedOn w:val="a0"/>
    <w:link w:val="30"/>
    <w:semiHidden/>
    <w:qFormat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9F64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Без интервала Знак"/>
    <w:basedOn w:val="a0"/>
    <w:link w:val="a6"/>
    <w:uiPriority w:val="1"/>
    <w:qFormat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7">
    <w:name w:val="Абзац списка Знак"/>
    <w:link w:val="a8"/>
    <w:uiPriority w:val="34"/>
    <w:qFormat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Основной текст_"/>
    <w:basedOn w:val="a0"/>
    <w:link w:val="23"/>
    <w:qFormat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9"/>
    <w:qFormat/>
    <w:rsid w:val="00DB717E"/>
    <w:rPr>
      <w:rFonts w:ascii="Times New Roman" w:eastAsia="Times New Roman" w:hAnsi="Times New Roman" w:cs="Times New Roman"/>
      <w:color w:val="000000"/>
      <w:spacing w:val="2"/>
      <w:w w:val="100"/>
      <w:shd w:val="clear" w:color="auto" w:fill="FFFFFF"/>
      <w:lang w:val="ru-RU" w:eastAsia="ru-RU" w:bidi="ru-RU"/>
    </w:rPr>
  </w:style>
  <w:style w:type="character" w:styleId="aa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qFormat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b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  <w:style w:type="character" w:customStyle="1" w:styleId="user">
    <w:name w:val="Маркеры (user)"/>
    <w:qFormat/>
    <w:rPr>
      <w:rFonts w:ascii="OpenSymbol" w:eastAsia="OpenSymbol" w:hAnsi="OpenSymbol" w:cs="OpenSymbol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customStyle="1" w:styleId="user0">
    <w:name w:val="Заголовок (user)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1">
    <w:name w:val="Указатель (user)"/>
    <w:basedOn w:val="a"/>
    <w:qFormat/>
    <w:pPr>
      <w:suppressLineNumbers/>
    </w:pPr>
    <w:rPr>
      <w:rFonts w:cs="Arial"/>
    </w:rPr>
  </w:style>
  <w:style w:type="paragraph" w:styleId="22">
    <w:name w:val="Body Text 2"/>
    <w:basedOn w:val="a"/>
    <w:link w:val="21"/>
    <w:semiHidden/>
    <w:unhideWhenUsed/>
    <w:qFormat/>
    <w:rsid w:val="009F64EB"/>
    <w:pPr>
      <w:jc w:val="center"/>
    </w:pPr>
    <w:rPr>
      <w:b/>
      <w:bCs/>
      <w:sz w:val="18"/>
    </w:rPr>
  </w:style>
  <w:style w:type="paragraph" w:styleId="30">
    <w:name w:val="Body Text 3"/>
    <w:basedOn w:val="a"/>
    <w:link w:val="3"/>
    <w:semiHidden/>
    <w:unhideWhenUsed/>
    <w:qFormat/>
    <w:rsid w:val="009F64EB"/>
    <w:pPr>
      <w:jc w:val="both"/>
    </w:pPr>
    <w:rPr>
      <w:sz w:val="24"/>
    </w:rPr>
  </w:style>
  <w:style w:type="paragraph" w:styleId="a4">
    <w:name w:val="Balloon Text"/>
    <w:basedOn w:val="a"/>
    <w:link w:val="a3"/>
    <w:uiPriority w:val="99"/>
    <w:semiHidden/>
    <w:unhideWhenUsed/>
    <w:qFormat/>
    <w:rsid w:val="009F64EB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7"/>
    <w:uiPriority w:val="34"/>
    <w:qFormat/>
    <w:rsid w:val="0085654D"/>
    <w:pPr>
      <w:ind w:left="720"/>
      <w:contextualSpacing/>
    </w:pPr>
  </w:style>
  <w:style w:type="paragraph" w:styleId="a6">
    <w:name w:val="No Spacing"/>
    <w:link w:val="a5"/>
    <w:uiPriority w:val="1"/>
    <w:qFormat/>
    <w:rsid w:val="000A1A58"/>
    <w:pPr>
      <w:overflowPunct w:val="0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qFormat/>
    <w:rsid w:val="00E2236C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23">
    <w:name w:val="Основной текст2"/>
    <w:basedOn w:val="a"/>
    <w:link w:val="a9"/>
    <w:qFormat/>
    <w:rsid w:val="00DB717E"/>
    <w:pPr>
      <w:widowControl w:val="0"/>
      <w:shd w:val="clear" w:color="auto" w:fill="FFFFFF"/>
      <w:overflowPunct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numbering" w:customStyle="1" w:styleId="user3">
    <w:name w:val="Без списка (user)"/>
    <w:uiPriority w:val="99"/>
    <w:semiHidden/>
    <w:unhideWhenUsed/>
    <w:qFormat/>
  </w:style>
  <w:style w:type="table" w:styleId="af1">
    <w:name w:val="Table Grid"/>
    <w:basedOn w:val="a1"/>
    <w:uiPriority w:val="59"/>
    <w:rsid w:val="00DB7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2 Знак"/>
    <w:basedOn w:val="a0"/>
    <w:link w:val="22"/>
    <w:semiHidden/>
    <w:qFormat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3">
    <w:name w:val="Основной текст 3 Знак"/>
    <w:basedOn w:val="a0"/>
    <w:link w:val="30"/>
    <w:semiHidden/>
    <w:qFormat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9F64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Без интервала Знак"/>
    <w:basedOn w:val="a0"/>
    <w:link w:val="a6"/>
    <w:uiPriority w:val="1"/>
    <w:qFormat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7">
    <w:name w:val="Абзац списка Знак"/>
    <w:link w:val="a8"/>
    <w:uiPriority w:val="34"/>
    <w:qFormat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Основной текст_"/>
    <w:basedOn w:val="a0"/>
    <w:link w:val="23"/>
    <w:qFormat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9"/>
    <w:qFormat/>
    <w:rsid w:val="00DB717E"/>
    <w:rPr>
      <w:rFonts w:ascii="Times New Roman" w:eastAsia="Times New Roman" w:hAnsi="Times New Roman" w:cs="Times New Roman"/>
      <w:color w:val="000000"/>
      <w:spacing w:val="2"/>
      <w:w w:val="100"/>
      <w:shd w:val="clear" w:color="auto" w:fill="FFFFFF"/>
      <w:lang w:val="ru-RU" w:eastAsia="ru-RU" w:bidi="ru-RU"/>
    </w:rPr>
  </w:style>
  <w:style w:type="character" w:styleId="aa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qFormat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b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  <w:style w:type="character" w:customStyle="1" w:styleId="user">
    <w:name w:val="Маркеры (user)"/>
    <w:qFormat/>
    <w:rPr>
      <w:rFonts w:ascii="OpenSymbol" w:eastAsia="OpenSymbol" w:hAnsi="OpenSymbol" w:cs="OpenSymbol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customStyle="1" w:styleId="user0">
    <w:name w:val="Заголовок (user)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1">
    <w:name w:val="Указатель (user)"/>
    <w:basedOn w:val="a"/>
    <w:qFormat/>
    <w:pPr>
      <w:suppressLineNumbers/>
    </w:pPr>
    <w:rPr>
      <w:rFonts w:cs="Arial"/>
    </w:rPr>
  </w:style>
  <w:style w:type="paragraph" w:styleId="22">
    <w:name w:val="Body Text 2"/>
    <w:basedOn w:val="a"/>
    <w:link w:val="21"/>
    <w:semiHidden/>
    <w:unhideWhenUsed/>
    <w:qFormat/>
    <w:rsid w:val="009F64EB"/>
    <w:pPr>
      <w:jc w:val="center"/>
    </w:pPr>
    <w:rPr>
      <w:b/>
      <w:bCs/>
      <w:sz w:val="18"/>
    </w:rPr>
  </w:style>
  <w:style w:type="paragraph" w:styleId="30">
    <w:name w:val="Body Text 3"/>
    <w:basedOn w:val="a"/>
    <w:link w:val="3"/>
    <w:semiHidden/>
    <w:unhideWhenUsed/>
    <w:qFormat/>
    <w:rsid w:val="009F64EB"/>
    <w:pPr>
      <w:jc w:val="both"/>
    </w:pPr>
    <w:rPr>
      <w:sz w:val="24"/>
    </w:rPr>
  </w:style>
  <w:style w:type="paragraph" w:styleId="a4">
    <w:name w:val="Balloon Text"/>
    <w:basedOn w:val="a"/>
    <w:link w:val="a3"/>
    <w:uiPriority w:val="99"/>
    <w:semiHidden/>
    <w:unhideWhenUsed/>
    <w:qFormat/>
    <w:rsid w:val="009F64EB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7"/>
    <w:uiPriority w:val="34"/>
    <w:qFormat/>
    <w:rsid w:val="0085654D"/>
    <w:pPr>
      <w:ind w:left="720"/>
      <w:contextualSpacing/>
    </w:pPr>
  </w:style>
  <w:style w:type="paragraph" w:styleId="a6">
    <w:name w:val="No Spacing"/>
    <w:link w:val="a5"/>
    <w:uiPriority w:val="1"/>
    <w:qFormat/>
    <w:rsid w:val="000A1A58"/>
    <w:pPr>
      <w:overflowPunct w:val="0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qFormat/>
    <w:rsid w:val="00E2236C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23">
    <w:name w:val="Основной текст2"/>
    <w:basedOn w:val="a"/>
    <w:link w:val="a9"/>
    <w:qFormat/>
    <w:rsid w:val="00DB717E"/>
    <w:pPr>
      <w:widowControl w:val="0"/>
      <w:shd w:val="clear" w:color="auto" w:fill="FFFFFF"/>
      <w:overflowPunct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numbering" w:customStyle="1" w:styleId="user3">
    <w:name w:val="Без списка (user)"/>
    <w:uiPriority w:val="99"/>
    <w:semiHidden/>
    <w:unhideWhenUsed/>
    <w:qFormat/>
  </w:style>
  <w:style w:type="table" w:styleId="af1">
    <w:name w:val="Table Grid"/>
    <w:basedOn w:val="a1"/>
    <w:uiPriority w:val="59"/>
    <w:rsid w:val="00DB7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6F4D3-B534-40D5-A0D6-72EEC7A7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835</Words>
  <Characters>4763</Characters>
  <Application>Microsoft Office Word</Application>
  <DocSecurity>0</DocSecurity>
  <Lines>39</Lines>
  <Paragraphs>11</Paragraphs>
  <ScaleCrop>false</ScaleCrop>
  <Company/>
  <LinksUpToDate>false</LinksUpToDate>
  <CharactersWithSpaces>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AntonovaNV</dc:creator>
  <dc:description/>
  <cp:lastModifiedBy>Пользователь</cp:lastModifiedBy>
  <cp:revision>26</cp:revision>
  <cp:lastPrinted>2026-04-24T15:00:00Z</cp:lastPrinted>
  <dcterms:created xsi:type="dcterms:W3CDTF">2024-05-28T12:35:00Z</dcterms:created>
  <dcterms:modified xsi:type="dcterms:W3CDTF">2026-04-29T11:31:00Z</dcterms:modified>
  <dc:language>ru-RU</dc:language>
</cp:coreProperties>
</file>